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28AB7" w14:textId="6694E1A2" w:rsidR="008C056A" w:rsidRPr="000C1D56" w:rsidRDefault="007E27A9" w:rsidP="007E27A9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C1D56">
        <w:rPr>
          <w:rFonts w:ascii="Times New Roman" w:hAnsi="Times New Roman" w:cs="Times New Roman"/>
          <w:b/>
          <w:bCs/>
          <w:sz w:val="24"/>
          <w:szCs w:val="24"/>
          <w:u w:val="single"/>
        </w:rPr>
        <w:t>Elements and Deadline in the No Surprises Act and Transparency in Coverage Rule</w:t>
      </w:r>
      <w:r w:rsidR="002F3DA0">
        <w:rPr>
          <w:rFonts w:ascii="Times New Roman" w:hAnsi="Times New Roman" w:cs="Times New Roman"/>
          <w:b/>
          <w:bCs/>
          <w:sz w:val="24"/>
          <w:szCs w:val="24"/>
          <w:u w:val="single"/>
        </w:rPr>
        <w:t>*</w:t>
      </w:r>
      <w:r w:rsidRPr="000C1D5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01B30AA3" w14:textId="4CABB102" w:rsidR="007E27A9" w:rsidRPr="000C1D56" w:rsidRDefault="007E27A9" w:rsidP="007E27A9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F743C68" w14:textId="77777777" w:rsidR="00624334" w:rsidRDefault="00A00AD4" w:rsidP="007E27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have been two main developments in recent years with respect to increasing transparency </w:t>
      </w:r>
      <w:r w:rsidR="000C7660">
        <w:rPr>
          <w:rFonts w:ascii="Times New Roman" w:hAnsi="Times New Roman" w:cs="Times New Roman"/>
          <w:sz w:val="24"/>
          <w:szCs w:val="24"/>
        </w:rPr>
        <w:t xml:space="preserve">requirements on issuers and plans. </w:t>
      </w:r>
    </w:p>
    <w:p w14:paraId="62C14ED9" w14:textId="77777777" w:rsidR="00624334" w:rsidRDefault="00624334" w:rsidP="00624334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Promulgation of the final </w:t>
      </w:r>
      <w:r w:rsidR="006D69C5" w:rsidRPr="000C1D56">
        <w:rPr>
          <w:rFonts w:ascii="Times New Roman" w:hAnsi="Times New Roman" w:cs="Times New Roman"/>
          <w:sz w:val="24"/>
          <w:szCs w:val="24"/>
        </w:rPr>
        <w:t>Transparency in Coverage Rule</w:t>
      </w:r>
      <w:r w:rsidR="006D69C5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6D69C5" w:rsidRPr="000C1D56">
        <w:rPr>
          <w:rFonts w:ascii="Times New Roman" w:hAnsi="Times New Roman" w:cs="Times New Roman"/>
          <w:sz w:val="24"/>
          <w:szCs w:val="24"/>
        </w:rPr>
        <w:t xml:space="preserve"> </w:t>
      </w:r>
      <w:r w:rsidR="006D69C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D69C5">
        <w:rPr>
          <w:rFonts w:ascii="Times New Roman" w:hAnsi="Times New Roman" w:cs="Times New Roman"/>
          <w:sz w:val="24"/>
          <w:szCs w:val="24"/>
        </w:rPr>
        <w:t>TiC</w:t>
      </w:r>
      <w:proofErr w:type="spellEnd"/>
      <w:r w:rsidR="006D69C5">
        <w:rPr>
          <w:rFonts w:ascii="Times New Roman" w:hAnsi="Times New Roman" w:cs="Times New Roman"/>
          <w:sz w:val="24"/>
          <w:szCs w:val="24"/>
        </w:rPr>
        <w:t>)</w:t>
      </w:r>
      <w:r w:rsidR="006D69C5">
        <w:rPr>
          <w:rFonts w:ascii="Times New Roman" w:hAnsi="Times New Roman" w:cs="Times New Roman"/>
          <w:sz w:val="24"/>
          <w:szCs w:val="24"/>
        </w:rPr>
        <w:t xml:space="preserve"> by the </w:t>
      </w:r>
      <w:r w:rsidR="006D69C5" w:rsidRPr="000C1D56">
        <w:rPr>
          <w:rFonts w:ascii="Times New Roman" w:hAnsi="Times New Roman" w:cs="Times New Roman"/>
          <w:sz w:val="24"/>
          <w:szCs w:val="24"/>
        </w:rPr>
        <w:t>Departments of Health and Human Services, Labor, and the Treasury</w:t>
      </w:r>
      <w:r w:rsidR="006D69C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CDDA6B" w14:textId="2D4EE2A6" w:rsidR="00A00AD4" w:rsidRDefault="00624334" w:rsidP="00624334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D69C5">
        <w:rPr>
          <w:rFonts w:ascii="Times New Roman" w:hAnsi="Times New Roman" w:cs="Times New Roman"/>
          <w:sz w:val="24"/>
          <w:szCs w:val="24"/>
        </w:rPr>
        <w:t xml:space="preserve">assage of the </w:t>
      </w:r>
      <w:r w:rsidR="006D69C5">
        <w:rPr>
          <w:rFonts w:ascii="Times New Roman" w:hAnsi="Times New Roman" w:cs="Times New Roman"/>
          <w:sz w:val="24"/>
          <w:szCs w:val="24"/>
        </w:rPr>
        <w:t>Consolidated Appropriations Act, 2021 (CAA)</w:t>
      </w:r>
      <w:r w:rsidR="006D69C5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6D69C5">
        <w:rPr>
          <w:rFonts w:ascii="Times New Roman" w:hAnsi="Times New Roman" w:cs="Times New Roman"/>
          <w:sz w:val="24"/>
          <w:szCs w:val="24"/>
        </w:rPr>
        <w:t xml:space="preserve"> which established requirements for insurers with respect to surprise billing </w:t>
      </w:r>
      <w:r w:rsidR="008E50E4">
        <w:rPr>
          <w:rFonts w:ascii="Times New Roman" w:hAnsi="Times New Roman" w:cs="Times New Roman"/>
          <w:sz w:val="24"/>
          <w:szCs w:val="24"/>
        </w:rPr>
        <w:t xml:space="preserve">(No Surprises Act) </w:t>
      </w:r>
      <w:r w:rsidR="006D69C5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prescription drug data collection (</w:t>
      </w:r>
      <w:proofErr w:type="spellStart"/>
      <w:r>
        <w:rPr>
          <w:rFonts w:ascii="Times New Roman" w:hAnsi="Times New Roman" w:cs="Times New Roman"/>
          <w:sz w:val="24"/>
          <w:szCs w:val="24"/>
        </w:rPr>
        <w:t>RxDC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removing gag clauses on prices and quality, disclosure of broker compensation, and strengthening mental health parity. </w:t>
      </w:r>
      <w:r w:rsidR="006D69C5">
        <w:rPr>
          <w:rFonts w:ascii="Times New Roman" w:hAnsi="Times New Roman" w:cs="Times New Roman"/>
          <w:sz w:val="24"/>
          <w:szCs w:val="24"/>
        </w:rPr>
        <w:t>transparency.</w:t>
      </w:r>
    </w:p>
    <w:p w14:paraId="186A6653" w14:textId="77777777" w:rsidR="00A00AD4" w:rsidRDefault="00A00AD4" w:rsidP="007E27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30D83C" w14:textId="26404EBF" w:rsidR="00EF2855" w:rsidRDefault="007C36D1" w:rsidP="0028458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pict w14:anchorId="0C19B2E8">
          <v:rect id="_x0000_i1025" style="width:0;height:1.5pt" o:hralign="center" o:hrstd="t" o:hr="t" fillcolor="#a0a0a0" stroked="f"/>
        </w:pict>
      </w:r>
    </w:p>
    <w:p w14:paraId="4D2147D1" w14:textId="1D8BBFDB" w:rsidR="00EF2855" w:rsidRDefault="00EF2855" w:rsidP="0028458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Transparency in Coverage: </w:t>
      </w:r>
      <w:r w:rsidR="00FA79B9">
        <w:rPr>
          <w:rFonts w:ascii="Times New Roman" w:hAnsi="Times New Roman" w:cs="Times New Roman"/>
          <w:b/>
          <w:bCs/>
          <w:sz w:val="24"/>
          <w:szCs w:val="24"/>
        </w:rPr>
        <w:t>Requirements and Deadlines</w:t>
      </w:r>
    </w:p>
    <w:p w14:paraId="154C0556" w14:textId="77777777" w:rsidR="00FA79B9" w:rsidRDefault="00FA79B9" w:rsidP="0028458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ABFBA24" w14:textId="77777777" w:rsidR="009134BB" w:rsidRDefault="007E27A9" w:rsidP="009134B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0C1D56">
        <w:rPr>
          <w:rFonts w:ascii="Times New Roman" w:hAnsi="Times New Roman" w:cs="Times New Roman"/>
          <w:b/>
          <w:bCs/>
          <w:sz w:val="24"/>
          <w:szCs w:val="24"/>
        </w:rPr>
        <w:t>Publicly Available Machine-Readable Files</w:t>
      </w:r>
    </w:p>
    <w:p w14:paraId="3A732531" w14:textId="56B6B80D" w:rsidR="00284581" w:rsidRPr="000C1D56" w:rsidRDefault="00284581" w:rsidP="009134BB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C1D56">
        <w:rPr>
          <w:rFonts w:ascii="Times New Roman" w:hAnsi="Times New Roman" w:cs="Times New Roman"/>
          <w:sz w:val="24"/>
          <w:szCs w:val="24"/>
        </w:rPr>
        <w:t xml:space="preserve">Effective Date: July 1, 2022 </w:t>
      </w:r>
    </w:p>
    <w:p w14:paraId="7DDB86EF" w14:textId="77777777" w:rsidR="00284581" w:rsidRPr="000C1D56" w:rsidRDefault="00284581" w:rsidP="00284581">
      <w:pPr>
        <w:pStyle w:val="NoSpacing"/>
        <w:ind w:left="144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1EDD215" w14:textId="77777777" w:rsidR="009134BB" w:rsidRDefault="007E27A9" w:rsidP="009134B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1D56">
        <w:rPr>
          <w:rFonts w:ascii="Times New Roman" w:hAnsi="Times New Roman" w:cs="Times New Roman"/>
          <w:b/>
          <w:bCs/>
          <w:sz w:val="24"/>
          <w:szCs w:val="24"/>
        </w:rPr>
        <w:t>Consumer Price Transparency Tool</w:t>
      </w:r>
    </w:p>
    <w:p w14:paraId="398D4DC0" w14:textId="1DD2254E" w:rsidR="00284581" w:rsidRPr="000C1D56" w:rsidRDefault="00284581" w:rsidP="009134BB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C1D56">
        <w:rPr>
          <w:rFonts w:ascii="Times New Roman" w:hAnsi="Times New Roman" w:cs="Times New Roman"/>
          <w:sz w:val="24"/>
          <w:szCs w:val="24"/>
        </w:rPr>
        <w:t xml:space="preserve">Effective Dates: </w:t>
      </w:r>
    </w:p>
    <w:p w14:paraId="199E61F0" w14:textId="77777777" w:rsidR="00284581" w:rsidRPr="000C1D56" w:rsidRDefault="007E27A9" w:rsidP="00284581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C1D56">
        <w:rPr>
          <w:rFonts w:ascii="Times New Roman" w:hAnsi="Times New Roman" w:cs="Times New Roman"/>
          <w:sz w:val="24"/>
          <w:szCs w:val="24"/>
        </w:rPr>
        <w:t xml:space="preserve">Beginning with plan years on or after January 1, 2023, the cost estimator tool must disclose information on 500 items, services and prescription drugs identified in the final rule. </w:t>
      </w:r>
    </w:p>
    <w:p w14:paraId="3C3E9785" w14:textId="7CEC8B06" w:rsidR="00284581" w:rsidRPr="000C1D56" w:rsidRDefault="007E27A9" w:rsidP="00284581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C1D56">
        <w:rPr>
          <w:rFonts w:ascii="Times New Roman" w:hAnsi="Times New Roman" w:cs="Times New Roman"/>
          <w:sz w:val="24"/>
          <w:szCs w:val="24"/>
        </w:rPr>
        <w:t xml:space="preserve">Starting with plan years on and after January 1, 2024, the tool must list all covered items and services including prescription drugs. </w:t>
      </w:r>
    </w:p>
    <w:p w14:paraId="087AAA84" w14:textId="0E5785FB" w:rsidR="0081219C" w:rsidRDefault="007C36D1" w:rsidP="0081219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pict w14:anchorId="5593218B">
          <v:rect id="_x0000_i1026" style="width:0;height:1.5pt" o:hralign="center" o:hrstd="t" o:hr="t" fillcolor="#a0a0a0" stroked="f"/>
        </w:pict>
      </w:r>
    </w:p>
    <w:p w14:paraId="7BCD0F6C" w14:textId="192369E0" w:rsidR="00284581" w:rsidRDefault="00284581" w:rsidP="00284581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EA18891" w14:textId="1FF881FD" w:rsidR="00EF1E0D" w:rsidRDefault="00EF1E0D" w:rsidP="0081219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1219C">
        <w:rPr>
          <w:rFonts w:ascii="Times New Roman" w:hAnsi="Times New Roman" w:cs="Times New Roman"/>
          <w:b/>
          <w:bCs/>
          <w:sz w:val="24"/>
          <w:szCs w:val="24"/>
        </w:rPr>
        <w:t>Consolidated Appropriations Act, 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219C" w:rsidRPr="0081219C">
        <w:rPr>
          <w:rFonts w:ascii="Times New Roman" w:hAnsi="Times New Roman" w:cs="Times New Roman"/>
          <w:b/>
          <w:bCs/>
          <w:sz w:val="24"/>
          <w:szCs w:val="24"/>
        </w:rPr>
        <w:t>Requirements</w:t>
      </w:r>
    </w:p>
    <w:p w14:paraId="1B9F773E" w14:textId="4FAE3F11" w:rsidR="0081219C" w:rsidRDefault="0081219C" w:rsidP="0081219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AB65C32" w14:textId="684394DB" w:rsidR="0081219C" w:rsidRPr="00605391" w:rsidRDefault="00C9273E" w:rsidP="0081219C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0539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Requirements in </w:t>
      </w:r>
      <w:r w:rsidR="0081219C" w:rsidRPr="00605391">
        <w:rPr>
          <w:rFonts w:ascii="Times New Roman" w:hAnsi="Times New Roman" w:cs="Times New Roman"/>
          <w:b/>
          <w:bCs/>
          <w:sz w:val="24"/>
          <w:szCs w:val="24"/>
          <w:u w:val="single"/>
        </w:rPr>
        <w:t>The No Surprises Act:</w:t>
      </w:r>
    </w:p>
    <w:p w14:paraId="7A9AF049" w14:textId="77777777" w:rsidR="00C9273E" w:rsidRDefault="00C9273E" w:rsidP="0081219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9E34535" w14:textId="77777777" w:rsidR="00C039A4" w:rsidRDefault="009E4AE4" w:rsidP="00C039A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00915">
        <w:rPr>
          <w:rFonts w:ascii="Times New Roman" w:hAnsi="Times New Roman" w:cs="Times New Roman"/>
          <w:b/>
          <w:bCs/>
          <w:sz w:val="24"/>
          <w:szCs w:val="24"/>
        </w:rPr>
        <w:t>Ban Balance Billing</w:t>
      </w:r>
    </w:p>
    <w:p w14:paraId="34851E78" w14:textId="4E430876" w:rsidR="001A254D" w:rsidRDefault="0053171A" w:rsidP="00C039A4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039A4">
        <w:rPr>
          <w:rFonts w:ascii="Times New Roman" w:hAnsi="Times New Roman" w:cs="Times New Roman"/>
          <w:sz w:val="24"/>
          <w:szCs w:val="24"/>
        </w:rPr>
        <w:t>Effective Date: January 1, 2022</w:t>
      </w:r>
    </w:p>
    <w:p w14:paraId="7CA87B7E" w14:textId="77777777" w:rsidR="00BF7F42" w:rsidRPr="00C039A4" w:rsidRDefault="00BF7F42" w:rsidP="00BF7F42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2204E178" w14:textId="18CC8635" w:rsidR="00C039A4" w:rsidRDefault="009E4AE4" w:rsidP="00C039A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A254D">
        <w:rPr>
          <w:rFonts w:ascii="Times New Roman" w:hAnsi="Times New Roman" w:cs="Times New Roman"/>
          <w:b/>
          <w:bCs/>
          <w:sz w:val="24"/>
          <w:szCs w:val="24"/>
        </w:rPr>
        <w:t>Resolving Payment Disputes</w:t>
      </w:r>
      <w:r w:rsidR="001A254D" w:rsidRPr="001A25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BC0CF4" w14:textId="66968ECD" w:rsidR="001A254D" w:rsidRDefault="001A254D" w:rsidP="00605391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9575A">
        <w:rPr>
          <w:rFonts w:ascii="Times New Roman" w:hAnsi="Times New Roman" w:cs="Times New Roman"/>
          <w:sz w:val="24"/>
          <w:szCs w:val="24"/>
        </w:rPr>
        <w:t>Effective Date: January 1, 2022</w:t>
      </w:r>
    </w:p>
    <w:p w14:paraId="38F13C65" w14:textId="77777777" w:rsidR="00BF7F42" w:rsidRDefault="00BF7F42" w:rsidP="00BF7F42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40072CD0" w14:textId="77777777" w:rsidR="00605391" w:rsidRDefault="000A5F21" w:rsidP="002B138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3197B">
        <w:rPr>
          <w:rFonts w:ascii="Times New Roman" w:hAnsi="Times New Roman" w:cs="Times New Roman"/>
          <w:b/>
          <w:bCs/>
          <w:sz w:val="24"/>
          <w:szCs w:val="24"/>
        </w:rPr>
        <w:t>Transparency in Plan or Insurance Identification Cards</w:t>
      </w:r>
    </w:p>
    <w:p w14:paraId="167183F1" w14:textId="77777777" w:rsidR="00605391" w:rsidRDefault="00605391" w:rsidP="00605391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3171A">
        <w:rPr>
          <w:rFonts w:ascii="Times New Roman" w:hAnsi="Times New Roman" w:cs="Times New Roman"/>
          <w:sz w:val="24"/>
          <w:szCs w:val="24"/>
        </w:rPr>
        <w:t>Effective Date: January 1, 2022</w:t>
      </w:r>
    </w:p>
    <w:p w14:paraId="6FB1A13F" w14:textId="69BC2E0E" w:rsidR="0033197B" w:rsidRPr="0033197B" w:rsidRDefault="00605391" w:rsidP="00605391">
      <w:pPr>
        <w:pStyle w:val="NoSpacing"/>
        <w:numPr>
          <w:ilvl w:val="1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05391">
        <w:rPr>
          <w:rFonts w:ascii="Times New Roman" w:hAnsi="Times New Roman" w:cs="Times New Roman"/>
          <w:sz w:val="24"/>
          <w:szCs w:val="24"/>
        </w:rPr>
        <w:t>Current Status: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03B0">
        <w:rPr>
          <w:rFonts w:ascii="Times New Roman" w:hAnsi="Times New Roman" w:cs="Times New Roman"/>
          <w:sz w:val="24"/>
          <w:szCs w:val="24"/>
        </w:rPr>
        <w:t>F</w:t>
      </w:r>
      <w:r w:rsidR="00C46DFD">
        <w:rPr>
          <w:rFonts w:ascii="Times New Roman" w:hAnsi="Times New Roman" w:cs="Times New Roman"/>
          <w:sz w:val="24"/>
          <w:szCs w:val="24"/>
        </w:rPr>
        <w:t>uture rulemaking</w:t>
      </w:r>
      <w:r w:rsidR="002D03B0">
        <w:rPr>
          <w:rFonts w:ascii="Times New Roman" w:hAnsi="Times New Roman" w:cs="Times New Roman"/>
          <w:sz w:val="24"/>
          <w:szCs w:val="24"/>
        </w:rPr>
        <w:t xml:space="preserve"> is planned but until that time </w:t>
      </w:r>
      <w:r w:rsidR="00E037CB">
        <w:rPr>
          <w:rFonts w:ascii="Times New Roman" w:hAnsi="Times New Roman" w:cs="Times New Roman"/>
          <w:sz w:val="24"/>
          <w:szCs w:val="24"/>
        </w:rPr>
        <w:t xml:space="preserve">there is the expectation of implementation </w:t>
      </w:r>
      <w:r w:rsidR="005E5643">
        <w:rPr>
          <w:rFonts w:ascii="Times New Roman" w:hAnsi="Times New Roman" w:cs="Times New Roman"/>
          <w:sz w:val="24"/>
          <w:szCs w:val="24"/>
        </w:rPr>
        <w:t>using a good faith, reasonable interpretation of the law.</w:t>
      </w:r>
      <w:r w:rsidR="00DC6E89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5E56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290CCF" w14:textId="77777777" w:rsidR="00C9273E" w:rsidRDefault="00C9273E" w:rsidP="00C9273E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43F8515F" w14:textId="77777777" w:rsidR="009D60AA" w:rsidRDefault="006700DB" w:rsidP="006700D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178DA">
        <w:rPr>
          <w:rFonts w:ascii="Times New Roman" w:hAnsi="Times New Roman" w:cs="Times New Roman"/>
          <w:b/>
          <w:bCs/>
          <w:sz w:val="24"/>
          <w:szCs w:val="24"/>
        </w:rPr>
        <w:t>Good Faith Estimate</w:t>
      </w:r>
    </w:p>
    <w:p w14:paraId="6FA7CED6" w14:textId="0B00E496" w:rsidR="006700DB" w:rsidRDefault="006700DB" w:rsidP="006700DB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071F2">
        <w:rPr>
          <w:rFonts w:ascii="Times New Roman" w:hAnsi="Times New Roman" w:cs="Times New Roman"/>
          <w:sz w:val="24"/>
          <w:szCs w:val="24"/>
        </w:rPr>
        <w:t>Effective Date: January 1, 2022</w:t>
      </w:r>
    </w:p>
    <w:p w14:paraId="3C4E16A6" w14:textId="046590C4" w:rsidR="00CD3EE5" w:rsidRDefault="00CD3EE5" w:rsidP="006700DB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Status: Enforcement deferred until further rulemaking issued.</w:t>
      </w:r>
    </w:p>
    <w:p w14:paraId="6B37BD4C" w14:textId="77777777" w:rsidR="006700DB" w:rsidRDefault="006700DB" w:rsidP="006700DB">
      <w:pPr>
        <w:pStyle w:val="NoSpacing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46FB5581" w14:textId="77777777" w:rsidR="00CD3EE5" w:rsidRDefault="00BE4C9D" w:rsidP="00CD3EE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53461">
        <w:rPr>
          <w:rFonts w:ascii="Times New Roman" w:hAnsi="Times New Roman" w:cs="Times New Roman"/>
          <w:b/>
          <w:bCs/>
          <w:sz w:val="24"/>
          <w:szCs w:val="24"/>
        </w:rPr>
        <w:t>Advanced Explanation of Benefits</w:t>
      </w:r>
      <w:r w:rsidR="00CD3EE5" w:rsidRPr="00CD3E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3A92B6" w14:textId="0656B21A" w:rsidR="00CD3EE5" w:rsidRDefault="00CD3EE5" w:rsidP="00CD3EE5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071F2">
        <w:rPr>
          <w:rFonts w:ascii="Times New Roman" w:hAnsi="Times New Roman" w:cs="Times New Roman"/>
          <w:sz w:val="24"/>
          <w:szCs w:val="24"/>
        </w:rPr>
        <w:t>Effective Date: January 1, 2022</w:t>
      </w:r>
    </w:p>
    <w:p w14:paraId="131B2A69" w14:textId="77777777" w:rsidR="00CD3EE5" w:rsidRDefault="00CD3EE5" w:rsidP="00CD3EE5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Status: Enforcement deferred until further rulemaking issued.</w:t>
      </w:r>
    </w:p>
    <w:p w14:paraId="56A94558" w14:textId="77777777" w:rsidR="00BE4C9D" w:rsidRDefault="00BE4C9D" w:rsidP="00BE4C9D">
      <w:pPr>
        <w:pStyle w:val="NoSpacing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087337" w14:textId="77777777" w:rsidR="00E037CB" w:rsidRPr="00E037CB" w:rsidRDefault="00931951" w:rsidP="00E037C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Imp</w:t>
      </w:r>
      <w:r w:rsidR="00AC0EFB">
        <w:rPr>
          <w:rFonts w:ascii="Times New Roman" w:hAnsi="Times New Roman" w:cs="Times New Roman"/>
          <w:b/>
          <w:bCs/>
          <w:sz w:val="24"/>
          <w:szCs w:val="24"/>
        </w:rPr>
        <w:t xml:space="preserve">roving the </w:t>
      </w:r>
      <w:r w:rsidR="00DF0F59" w:rsidRPr="0033197B">
        <w:rPr>
          <w:rFonts w:ascii="Times New Roman" w:hAnsi="Times New Roman" w:cs="Times New Roman"/>
          <w:b/>
          <w:bCs/>
          <w:sz w:val="24"/>
          <w:szCs w:val="24"/>
        </w:rPr>
        <w:t>Accura</w:t>
      </w:r>
      <w:r w:rsidR="00AC0EFB">
        <w:rPr>
          <w:rFonts w:ascii="Times New Roman" w:hAnsi="Times New Roman" w:cs="Times New Roman"/>
          <w:b/>
          <w:bCs/>
          <w:sz w:val="24"/>
          <w:szCs w:val="24"/>
        </w:rPr>
        <w:t>cy</w:t>
      </w:r>
      <w:r w:rsidR="00DF0F59" w:rsidRPr="0033197B">
        <w:rPr>
          <w:rFonts w:ascii="Times New Roman" w:hAnsi="Times New Roman" w:cs="Times New Roman"/>
          <w:b/>
          <w:bCs/>
          <w:sz w:val="24"/>
          <w:szCs w:val="24"/>
        </w:rPr>
        <w:t xml:space="preserve"> Provider Directories</w:t>
      </w:r>
    </w:p>
    <w:p w14:paraId="4756E604" w14:textId="6FCF9C7E" w:rsidR="00E037CB" w:rsidRDefault="00E037CB" w:rsidP="00E037CB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3171A">
        <w:rPr>
          <w:rFonts w:ascii="Times New Roman" w:hAnsi="Times New Roman" w:cs="Times New Roman"/>
          <w:sz w:val="24"/>
          <w:szCs w:val="24"/>
        </w:rPr>
        <w:t>Effective Date: January 1, 2022</w:t>
      </w:r>
    </w:p>
    <w:p w14:paraId="6BC2FE98" w14:textId="442FF9BE" w:rsidR="00E037CB" w:rsidRPr="0033197B" w:rsidRDefault="00E037CB" w:rsidP="00E037CB">
      <w:pPr>
        <w:pStyle w:val="NoSpacing"/>
        <w:numPr>
          <w:ilvl w:val="1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05391">
        <w:rPr>
          <w:rFonts w:ascii="Times New Roman" w:hAnsi="Times New Roman" w:cs="Times New Roman"/>
          <w:sz w:val="24"/>
          <w:szCs w:val="24"/>
        </w:rPr>
        <w:t>Current Status: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Future rulemaking is planned but until that time there is the expectation of implementation using a good faith, reasonable interpretation of the law. </w:t>
      </w:r>
    </w:p>
    <w:p w14:paraId="79DC1218" w14:textId="32ADF093" w:rsidR="00C9273E" w:rsidRDefault="00C9273E" w:rsidP="00E037C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2AAA8DF1" w14:textId="694423C8" w:rsidR="000A3210" w:rsidRPr="00CD3EE5" w:rsidRDefault="00DD535C" w:rsidP="00CD3EE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071F2">
        <w:rPr>
          <w:rFonts w:ascii="Times New Roman" w:hAnsi="Times New Roman" w:cs="Times New Roman"/>
          <w:b/>
          <w:bCs/>
          <w:sz w:val="24"/>
          <w:szCs w:val="24"/>
        </w:rPr>
        <w:t>Balance Billing Disclosure Requirements</w:t>
      </w:r>
    </w:p>
    <w:p w14:paraId="6B5DCEA7" w14:textId="77777777" w:rsidR="00CD3EE5" w:rsidRDefault="00CD3EE5" w:rsidP="00CD3EE5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3171A">
        <w:rPr>
          <w:rFonts w:ascii="Times New Roman" w:hAnsi="Times New Roman" w:cs="Times New Roman"/>
          <w:sz w:val="24"/>
          <w:szCs w:val="24"/>
        </w:rPr>
        <w:t>Effective Date: January 1, 2022</w:t>
      </w:r>
    </w:p>
    <w:p w14:paraId="08CDC067" w14:textId="504C2E39" w:rsidR="00CD3EE5" w:rsidRPr="0033197B" w:rsidRDefault="00CD3EE5" w:rsidP="00CD3EE5">
      <w:pPr>
        <w:pStyle w:val="NoSpacing"/>
        <w:numPr>
          <w:ilvl w:val="1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05391">
        <w:rPr>
          <w:rFonts w:ascii="Times New Roman" w:hAnsi="Times New Roman" w:cs="Times New Roman"/>
          <w:sz w:val="24"/>
          <w:szCs w:val="24"/>
        </w:rPr>
        <w:t>Current Status: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Future rulemaking is planned but until that time there is the expectation of implementation using a good faith, reasonable interpretation of the law. </w:t>
      </w:r>
    </w:p>
    <w:p w14:paraId="3FBBD233" w14:textId="77777777" w:rsidR="002053BA" w:rsidRPr="002053BA" w:rsidRDefault="002053BA" w:rsidP="002053B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2FE34BB0" w14:textId="3419E992" w:rsidR="009A3F63" w:rsidRPr="002053BA" w:rsidRDefault="00BA2ECC" w:rsidP="002053BA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053BA">
        <w:rPr>
          <w:rFonts w:ascii="Times New Roman" w:hAnsi="Times New Roman" w:cs="Times New Roman"/>
          <w:b/>
          <w:bCs/>
          <w:sz w:val="24"/>
          <w:szCs w:val="24"/>
        </w:rPr>
        <w:t>Price Comparison Tool</w:t>
      </w:r>
      <w:r w:rsidR="0065371B" w:rsidRPr="002053BA">
        <w:rPr>
          <w:rFonts w:ascii="Times New Roman" w:hAnsi="Times New Roman" w:cs="Times New Roman"/>
          <w:sz w:val="24"/>
          <w:szCs w:val="24"/>
        </w:rPr>
        <w:t xml:space="preserve">: </w:t>
      </w:r>
      <w:r w:rsidR="009A3F63" w:rsidRPr="002053BA">
        <w:rPr>
          <w:rFonts w:ascii="Times New Roman" w:hAnsi="Times New Roman" w:cs="Times New Roman"/>
          <w:sz w:val="24"/>
          <w:szCs w:val="24"/>
        </w:rPr>
        <w:t xml:space="preserve">The price comparison methods required by the CAA are largely duplicative </w:t>
      </w:r>
      <w:r w:rsidR="00A93A04">
        <w:rPr>
          <w:rFonts w:ascii="Times New Roman" w:hAnsi="Times New Roman" w:cs="Times New Roman"/>
          <w:sz w:val="24"/>
          <w:szCs w:val="24"/>
        </w:rPr>
        <w:t xml:space="preserve">with the </w:t>
      </w:r>
      <w:proofErr w:type="spellStart"/>
      <w:r w:rsidR="00A93A04">
        <w:rPr>
          <w:rFonts w:ascii="Times New Roman" w:hAnsi="Times New Roman" w:cs="Times New Roman"/>
          <w:sz w:val="24"/>
          <w:szCs w:val="24"/>
        </w:rPr>
        <w:t>TiC</w:t>
      </w:r>
      <w:proofErr w:type="spellEnd"/>
      <w:r w:rsidR="00A93A0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93A04">
        <w:rPr>
          <w:rFonts w:ascii="Times New Roman" w:hAnsi="Times New Roman" w:cs="Times New Roman"/>
          <w:sz w:val="24"/>
          <w:szCs w:val="24"/>
        </w:rPr>
        <w:t>with the exception of</w:t>
      </w:r>
      <w:proofErr w:type="gramEnd"/>
      <w:r w:rsidR="00A93A04">
        <w:rPr>
          <w:rFonts w:ascii="Times New Roman" w:hAnsi="Times New Roman" w:cs="Times New Roman"/>
          <w:sz w:val="24"/>
          <w:szCs w:val="24"/>
        </w:rPr>
        <w:t xml:space="preserve"> the requirement to provide it by phone in the CAA</w:t>
      </w:r>
      <w:r w:rsidR="009A3F63">
        <w:t>.</w:t>
      </w:r>
    </w:p>
    <w:p w14:paraId="5E046122" w14:textId="53D992BF" w:rsidR="00BA2ECC" w:rsidRDefault="00BA2ECC" w:rsidP="00BA2ECC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071F2">
        <w:rPr>
          <w:rFonts w:ascii="Times New Roman" w:hAnsi="Times New Roman" w:cs="Times New Roman"/>
          <w:sz w:val="24"/>
          <w:szCs w:val="24"/>
        </w:rPr>
        <w:t>Effective Date: January 1, 2022</w:t>
      </w:r>
    </w:p>
    <w:p w14:paraId="08C516B3" w14:textId="0CB613D4" w:rsidR="00F92838" w:rsidRPr="00833B4C" w:rsidRDefault="00F92838" w:rsidP="00F92838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05391">
        <w:rPr>
          <w:rFonts w:ascii="Times New Roman" w:hAnsi="Times New Roman" w:cs="Times New Roman"/>
          <w:sz w:val="24"/>
          <w:szCs w:val="24"/>
        </w:rPr>
        <w:t>Current Status: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7E71">
        <w:rPr>
          <w:rFonts w:ascii="Times New Roman" w:hAnsi="Times New Roman" w:cs="Times New Roman"/>
          <w:sz w:val="24"/>
          <w:szCs w:val="24"/>
        </w:rPr>
        <w:t>E</w:t>
      </w:r>
      <w:r w:rsidRPr="00833B4C">
        <w:rPr>
          <w:rFonts w:ascii="Times New Roman" w:hAnsi="Times New Roman" w:cs="Times New Roman"/>
          <w:sz w:val="24"/>
          <w:szCs w:val="24"/>
        </w:rPr>
        <w:t xml:space="preserve">nforcement </w:t>
      </w:r>
      <w:r w:rsidR="00D17E71">
        <w:rPr>
          <w:rFonts w:ascii="Times New Roman" w:hAnsi="Times New Roman" w:cs="Times New Roman"/>
          <w:sz w:val="24"/>
          <w:szCs w:val="24"/>
        </w:rPr>
        <w:t xml:space="preserve">was delayed until </w:t>
      </w:r>
      <w:r w:rsidRPr="00833B4C">
        <w:rPr>
          <w:rFonts w:ascii="Times New Roman" w:hAnsi="Times New Roman" w:cs="Times New Roman"/>
          <w:sz w:val="24"/>
          <w:szCs w:val="24"/>
        </w:rPr>
        <w:t xml:space="preserve">January 1, </w:t>
      </w:r>
      <w:proofErr w:type="gramStart"/>
      <w:r w:rsidRPr="00833B4C">
        <w:rPr>
          <w:rFonts w:ascii="Times New Roman" w:hAnsi="Times New Roman" w:cs="Times New Roman"/>
          <w:sz w:val="24"/>
          <w:szCs w:val="24"/>
        </w:rPr>
        <w:t>2023</w:t>
      </w:r>
      <w:proofErr w:type="gramEnd"/>
      <w:r w:rsidR="00D17E71">
        <w:rPr>
          <w:rFonts w:ascii="Times New Roman" w:hAnsi="Times New Roman" w:cs="Times New Roman"/>
          <w:sz w:val="24"/>
          <w:szCs w:val="24"/>
        </w:rPr>
        <w:t xml:space="preserve"> to align with the </w:t>
      </w:r>
      <w:proofErr w:type="spellStart"/>
      <w:r w:rsidR="00D17E71">
        <w:rPr>
          <w:rFonts w:ascii="Times New Roman" w:hAnsi="Times New Roman" w:cs="Times New Roman"/>
          <w:sz w:val="24"/>
          <w:szCs w:val="24"/>
        </w:rPr>
        <w:t>TiC</w:t>
      </w:r>
      <w:proofErr w:type="spellEnd"/>
      <w:r w:rsidR="00D17E71">
        <w:rPr>
          <w:rFonts w:ascii="Times New Roman" w:hAnsi="Times New Roman" w:cs="Times New Roman"/>
          <w:sz w:val="24"/>
          <w:szCs w:val="24"/>
        </w:rPr>
        <w:t>.</w:t>
      </w:r>
    </w:p>
    <w:p w14:paraId="3A9FAC85" w14:textId="77777777" w:rsidR="00C9273E" w:rsidRDefault="00C9273E" w:rsidP="00C9273E">
      <w:pPr>
        <w:pStyle w:val="NoSpacing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7290B377" w14:textId="77777777" w:rsidR="00D17E71" w:rsidRDefault="008E6010" w:rsidP="00D17E7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17E71">
        <w:rPr>
          <w:rFonts w:ascii="Times New Roman" w:hAnsi="Times New Roman" w:cs="Times New Roman"/>
          <w:b/>
          <w:bCs/>
          <w:sz w:val="24"/>
          <w:szCs w:val="24"/>
        </w:rPr>
        <w:t>Continuity of Care</w:t>
      </w:r>
    </w:p>
    <w:p w14:paraId="3F9AD388" w14:textId="0A785B5A" w:rsidR="00D61CDE" w:rsidRDefault="00D61CDE" w:rsidP="003140F0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17E71">
        <w:rPr>
          <w:rFonts w:ascii="Times New Roman" w:hAnsi="Times New Roman" w:cs="Times New Roman"/>
          <w:sz w:val="24"/>
          <w:szCs w:val="24"/>
        </w:rPr>
        <w:t>Effective Date: January 1, 2022</w:t>
      </w:r>
    </w:p>
    <w:p w14:paraId="4FEC6694" w14:textId="77777777" w:rsidR="00D17E71" w:rsidRPr="0033197B" w:rsidRDefault="00D17E71" w:rsidP="00D17E71">
      <w:pPr>
        <w:pStyle w:val="NoSpacing"/>
        <w:numPr>
          <w:ilvl w:val="1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05391">
        <w:rPr>
          <w:rFonts w:ascii="Times New Roman" w:hAnsi="Times New Roman" w:cs="Times New Roman"/>
          <w:sz w:val="24"/>
          <w:szCs w:val="24"/>
        </w:rPr>
        <w:t>Current Status: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Future rulemaking is planned but until that time there is the expectation of implementation using a good faith, reasonable interpretation of the law. </w:t>
      </w:r>
    </w:p>
    <w:p w14:paraId="45AC4317" w14:textId="77777777" w:rsidR="00094BB7" w:rsidRDefault="00094BB7" w:rsidP="00B939E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3A00D2D" w14:textId="77777777" w:rsidR="004643E5" w:rsidRDefault="00A35AF4" w:rsidP="004643E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D17E71">
        <w:rPr>
          <w:rFonts w:ascii="Times New Roman" w:hAnsi="Times New Roman" w:cs="Times New Roman"/>
          <w:b/>
          <w:bCs/>
          <w:sz w:val="24"/>
          <w:szCs w:val="24"/>
          <w:u w:val="single"/>
        </w:rPr>
        <w:t>Prescription drug data collection (</w:t>
      </w:r>
      <w:proofErr w:type="spellStart"/>
      <w:r w:rsidRPr="00D17E71">
        <w:rPr>
          <w:rFonts w:ascii="Times New Roman" w:hAnsi="Times New Roman" w:cs="Times New Roman"/>
          <w:b/>
          <w:bCs/>
          <w:sz w:val="24"/>
          <w:szCs w:val="24"/>
          <w:u w:val="single"/>
        </w:rPr>
        <w:t>RxDC</w:t>
      </w:r>
      <w:proofErr w:type="spellEnd"/>
      <w:r w:rsidRPr="00D17E71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 w:rsidR="00087751" w:rsidRPr="00D17E71">
        <w:rPr>
          <w:rStyle w:val="FootnoteReference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4"/>
      </w:r>
      <w:r w:rsidR="006E71A8" w:rsidRPr="00B939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8AC4E14" w14:textId="52FECA34" w:rsidR="00B939E6" w:rsidRDefault="005952E3" w:rsidP="004643E5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939E6">
        <w:rPr>
          <w:rFonts w:ascii="Times New Roman" w:hAnsi="Times New Roman" w:cs="Times New Roman"/>
          <w:sz w:val="24"/>
          <w:szCs w:val="24"/>
        </w:rPr>
        <w:t xml:space="preserve">Effective Date: </w:t>
      </w:r>
    </w:p>
    <w:p w14:paraId="421B9F48" w14:textId="77777777" w:rsidR="00B939E6" w:rsidRDefault="000E3F52" w:rsidP="00B939E6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39E6">
        <w:rPr>
          <w:rFonts w:ascii="Times New Roman" w:hAnsi="Times New Roman" w:cs="Times New Roman"/>
          <w:sz w:val="24"/>
          <w:szCs w:val="24"/>
        </w:rPr>
        <w:t xml:space="preserve">The deadline for the 2020 reference year is December 27, 2021. The deadline for subsequent reference years is June 1st of the calendar year immediately following the reference year. </w:t>
      </w:r>
    </w:p>
    <w:p w14:paraId="03B2ED9D" w14:textId="0C2376DB" w:rsidR="005952E3" w:rsidRPr="00B939E6" w:rsidRDefault="000E3F52" w:rsidP="00B939E6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39E6">
        <w:rPr>
          <w:rFonts w:ascii="Times New Roman" w:hAnsi="Times New Roman" w:cs="Times New Roman"/>
          <w:sz w:val="24"/>
          <w:szCs w:val="24"/>
        </w:rPr>
        <w:t xml:space="preserve">For the 2020 and 2021 reference years: The </w:t>
      </w:r>
      <w:r w:rsidR="00736451">
        <w:rPr>
          <w:rFonts w:ascii="Times New Roman" w:hAnsi="Times New Roman" w:cs="Times New Roman"/>
          <w:sz w:val="24"/>
          <w:szCs w:val="24"/>
        </w:rPr>
        <w:t>d</w:t>
      </w:r>
      <w:r w:rsidRPr="00B939E6">
        <w:rPr>
          <w:rFonts w:ascii="Times New Roman" w:hAnsi="Times New Roman" w:cs="Times New Roman"/>
          <w:sz w:val="24"/>
          <w:szCs w:val="24"/>
        </w:rPr>
        <w:t xml:space="preserve">epartments are deferring enforcement of the requirement to submit data for the 2020 and 2021 reference years, </w:t>
      </w:r>
      <w:proofErr w:type="gramStart"/>
      <w:r w:rsidRPr="00B939E6">
        <w:rPr>
          <w:rFonts w:ascii="Times New Roman" w:hAnsi="Times New Roman" w:cs="Times New Roman"/>
          <w:sz w:val="24"/>
          <w:szCs w:val="24"/>
        </w:rPr>
        <w:t>as long as</w:t>
      </w:r>
      <w:proofErr w:type="gramEnd"/>
      <w:r w:rsidRPr="00B939E6">
        <w:rPr>
          <w:rFonts w:ascii="Times New Roman" w:hAnsi="Times New Roman" w:cs="Times New Roman"/>
          <w:sz w:val="24"/>
          <w:szCs w:val="24"/>
        </w:rPr>
        <w:t xml:space="preserve"> the data is submitted by December 27, 2022.</w:t>
      </w:r>
    </w:p>
    <w:p w14:paraId="537407BB" w14:textId="0A47E40D" w:rsidR="00A35AF4" w:rsidRPr="006E71A8" w:rsidRDefault="00A35AF4" w:rsidP="008121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5892C3" w14:textId="04E342AE" w:rsidR="002855AE" w:rsidRPr="002855AE" w:rsidRDefault="00A35AF4" w:rsidP="002855A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2855A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Removing </w:t>
      </w:r>
      <w:r w:rsidR="00001FA5" w:rsidRPr="002855AE">
        <w:rPr>
          <w:rFonts w:ascii="Times New Roman" w:hAnsi="Times New Roman" w:cs="Times New Roman"/>
          <w:b/>
          <w:bCs/>
          <w:sz w:val="24"/>
          <w:szCs w:val="24"/>
          <w:u w:val="single"/>
        </w:rPr>
        <w:t>G</w:t>
      </w:r>
      <w:r w:rsidRPr="002855A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ag </w:t>
      </w:r>
      <w:r w:rsidR="00001FA5" w:rsidRPr="002855AE">
        <w:rPr>
          <w:rFonts w:ascii="Times New Roman" w:hAnsi="Times New Roman" w:cs="Times New Roman"/>
          <w:b/>
          <w:bCs/>
          <w:sz w:val="24"/>
          <w:szCs w:val="24"/>
          <w:u w:val="single"/>
        </w:rPr>
        <w:t>C</w:t>
      </w:r>
      <w:r w:rsidRPr="002855A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lauses on </w:t>
      </w:r>
      <w:r w:rsidR="00001FA5" w:rsidRPr="002855AE">
        <w:rPr>
          <w:rFonts w:ascii="Times New Roman" w:hAnsi="Times New Roman" w:cs="Times New Roman"/>
          <w:b/>
          <w:bCs/>
          <w:sz w:val="24"/>
          <w:szCs w:val="24"/>
          <w:u w:val="single"/>
        </w:rPr>
        <w:t>P</w:t>
      </w:r>
      <w:r w:rsidRPr="002855A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rices and </w:t>
      </w:r>
      <w:r w:rsidR="00001FA5" w:rsidRPr="002855AE">
        <w:rPr>
          <w:rFonts w:ascii="Times New Roman" w:hAnsi="Times New Roman" w:cs="Times New Roman"/>
          <w:b/>
          <w:bCs/>
          <w:sz w:val="24"/>
          <w:szCs w:val="24"/>
          <w:u w:val="single"/>
        </w:rPr>
        <w:t>Q</w:t>
      </w:r>
      <w:r w:rsidRPr="002855AE">
        <w:rPr>
          <w:rFonts w:ascii="Times New Roman" w:hAnsi="Times New Roman" w:cs="Times New Roman"/>
          <w:b/>
          <w:bCs/>
          <w:sz w:val="24"/>
          <w:szCs w:val="24"/>
          <w:u w:val="single"/>
        </w:rPr>
        <w:t>uality</w:t>
      </w:r>
      <w:r w:rsidR="002075EF" w:rsidRPr="002855A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2E0490F" w14:textId="2D030C45" w:rsidR="004C20E2" w:rsidRDefault="004C20E2" w:rsidP="002855AE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939E6">
        <w:rPr>
          <w:rFonts w:ascii="Times New Roman" w:hAnsi="Times New Roman" w:cs="Times New Roman"/>
          <w:sz w:val="24"/>
          <w:szCs w:val="24"/>
        </w:rPr>
        <w:t xml:space="preserve">Effective Date: </w:t>
      </w:r>
      <w:r w:rsidR="00B03AB2">
        <w:rPr>
          <w:rFonts w:ascii="Times New Roman" w:hAnsi="Times New Roman" w:cs="Times New Roman"/>
          <w:sz w:val="24"/>
          <w:szCs w:val="24"/>
        </w:rPr>
        <w:t xml:space="preserve">The provisions went into effect on </w:t>
      </w:r>
      <w:r w:rsidR="003166D9">
        <w:rPr>
          <w:rFonts w:ascii="Times New Roman" w:hAnsi="Times New Roman" w:cs="Times New Roman"/>
          <w:sz w:val="24"/>
          <w:szCs w:val="24"/>
        </w:rPr>
        <w:t>December 27, 2020</w:t>
      </w:r>
      <w:r w:rsidR="00B03AB2">
        <w:rPr>
          <w:rFonts w:ascii="Times New Roman" w:hAnsi="Times New Roman" w:cs="Times New Roman"/>
          <w:sz w:val="24"/>
          <w:szCs w:val="24"/>
        </w:rPr>
        <w:t xml:space="preserve">. </w:t>
      </w:r>
      <w:r w:rsidR="004B6354">
        <w:rPr>
          <w:rFonts w:ascii="Times New Roman" w:hAnsi="Times New Roman" w:cs="Times New Roman"/>
          <w:sz w:val="24"/>
          <w:szCs w:val="24"/>
        </w:rPr>
        <w:t xml:space="preserve">Attestations start in 2022. </w:t>
      </w:r>
    </w:p>
    <w:p w14:paraId="7A954185" w14:textId="6D220C69" w:rsidR="00BF7F42" w:rsidRPr="0033197B" w:rsidRDefault="002855AE" w:rsidP="00BF7F42">
      <w:pPr>
        <w:pStyle w:val="NoSpacing"/>
        <w:numPr>
          <w:ilvl w:val="1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 Status: </w:t>
      </w:r>
      <w:r w:rsidR="00143697">
        <w:rPr>
          <w:rFonts w:ascii="Times New Roman" w:hAnsi="Times New Roman" w:cs="Times New Roman"/>
          <w:sz w:val="24"/>
          <w:szCs w:val="24"/>
        </w:rPr>
        <w:t>The provision was self-executing but g</w:t>
      </w:r>
      <w:r>
        <w:rPr>
          <w:rFonts w:ascii="Times New Roman" w:hAnsi="Times New Roman" w:cs="Times New Roman"/>
          <w:sz w:val="24"/>
          <w:szCs w:val="24"/>
        </w:rPr>
        <w:t>uidance on the attestation requirements is still expected but has not been released</w:t>
      </w:r>
      <w:r w:rsidR="00BF7F42" w:rsidRPr="00BF7F42">
        <w:rPr>
          <w:rFonts w:ascii="Times New Roman" w:hAnsi="Times New Roman" w:cs="Times New Roman"/>
          <w:sz w:val="24"/>
          <w:szCs w:val="24"/>
        </w:rPr>
        <w:t xml:space="preserve"> </w:t>
      </w:r>
      <w:r w:rsidR="00BF7F42">
        <w:rPr>
          <w:rFonts w:ascii="Times New Roman" w:hAnsi="Times New Roman" w:cs="Times New Roman"/>
          <w:sz w:val="24"/>
          <w:szCs w:val="24"/>
        </w:rPr>
        <w:t xml:space="preserve">until that time there is the expectation of implementation using a good faith, reasonable interpretation of the law. </w:t>
      </w:r>
    </w:p>
    <w:p w14:paraId="7D302B41" w14:textId="77777777" w:rsidR="004C20E2" w:rsidRPr="00C2703F" w:rsidRDefault="004C20E2" w:rsidP="008121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D5C449" w14:textId="77777777" w:rsidR="002855AE" w:rsidRPr="002855AE" w:rsidRDefault="00A35AF4" w:rsidP="002855AE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855A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Disclosure of </w:t>
      </w:r>
      <w:r w:rsidR="00F438F3" w:rsidRPr="002855AE">
        <w:rPr>
          <w:rFonts w:ascii="Times New Roman" w:hAnsi="Times New Roman" w:cs="Times New Roman"/>
          <w:b/>
          <w:bCs/>
          <w:sz w:val="24"/>
          <w:szCs w:val="24"/>
          <w:u w:val="single"/>
        </w:rPr>
        <w:t>B</w:t>
      </w:r>
      <w:r w:rsidRPr="002855A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roker </w:t>
      </w:r>
      <w:r w:rsidR="00F438F3" w:rsidRPr="002855AE">
        <w:rPr>
          <w:rFonts w:ascii="Times New Roman" w:hAnsi="Times New Roman" w:cs="Times New Roman"/>
          <w:b/>
          <w:bCs/>
          <w:sz w:val="24"/>
          <w:szCs w:val="24"/>
          <w:u w:val="single"/>
        </w:rPr>
        <w:t>C</w:t>
      </w:r>
      <w:r w:rsidRPr="002855AE">
        <w:rPr>
          <w:rFonts w:ascii="Times New Roman" w:hAnsi="Times New Roman" w:cs="Times New Roman"/>
          <w:b/>
          <w:bCs/>
          <w:sz w:val="24"/>
          <w:szCs w:val="24"/>
          <w:u w:val="single"/>
        </w:rPr>
        <w:t>ompensation</w:t>
      </w:r>
    </w:p>
    <w:p w14:paraId="77CEAD58" w14:textId="2D896433" w:rsidR="00C2703F" w:rsidRPr="00C2703F" w:rsidRDefault="00C2703F" w:rsidP="002855AE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Effective Date: The effective date of the </w:t>
      </w:r>
      <w:r w:rsidR="0085571B">
        <w:rPr>
          <w:rFonts w:ascii="Times New Roman" w:hAnsi="Times New Roman" w:cs="Times New Roman"/>
          <w:sz w:val="24"/>
          <w:szCs w:val="24"/>
        </w:rPr>
        <w:t>statutory</w:t>
      </w:r>
      <w:r>
        <w:rPr>
          <w:rFonts w:ascii="Times New Roman" w:hAnsi="Times New Roman" w:cs="Times New Roman"/>
          <w:sz w:val="24"/>
          <w:szCs w:val="24"/>
        </w:rPr>
        <w:t xml:space="preserve"> requirements is December 27, 2021. CMS proposed </w:t>
      </w:r>
      <w:r w:rsidR="0085571B">
        <w:rPr>
          <w:rFonts w:ascii="Times New Roman" w:hAnsi="Times New Roman" w:cs="Times New Roman"/>
          <w:sz w:val="24"/>
          <w:szCs w:val="24"/>
        </w:rPr>
        <w:t xml:space="preserve">the first reporting period beginning on January 1, 2022. </w:t>
      </w:r>
    </w:p>
    <w:p w14:paraId="1E61BF88" w14:textId="77777777" w:rsidR="00C2703F" w:rsidRDefault="00C2703F" w:rsidP="00C2703F">
      <w:pPr>
        <w:pStyle w:val="NoSpacing"/>
      </w:pPr>
    </w:p>
    <w:p w14:paraId="07248DFA" w14:textId="77777777" w:rsidR="00143697" w:rsidRPr="00BF7F42" w:rsidRDefault="00DF19BF" w:rsidP="00143697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BF7F42">
        <w:rPr>
          <w:rFonts w:ascii="Times New Roman" w:hAnsi="Times New Roman" w:cs="Times New Roman"/>
          <w:b/>
          <w:bCs/>
          <w:sz w:val="24"/>
          <w:szCs w:val="24"/>
          <w:u w:val="single"/>
        </w:rPr>
        <w:t>M</w:t>
      </w:r>
      <w:r w:rsidR="00A35AF4" w:rsidRPr="00BF7F4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ental </w:t>
      </w:r>
      <w:r w:rsidRPr="00BF7F42">
        <w:rPr>
          <w:rFonts w:ascii="Times New Roman" w:hAnsi="Times New Roman" w:cs="Times New Roman"/>
          <w:b/>
          <w:bCs/>
          <w:sz w:val="24"/>
          <w:szCs w:val="24"/>
          <w:u w:val="single"/>
        </w:rPr>
        <w:t>H</w:t>
      </w:r>
      <w:r w:rsidR="00A35AF4" w:rsidRPr="00BF7F4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ealth </w:t>
      </w:r>
      <w:r w:rsidRPr="00BF7F42">
        <w:rPr>
          <w:rFonts w:ascii="Times New Roman" w:hAnsi="Times New Roman" w:cs="Times New Roman"/>
          <w:b/>
          <w:bCs/>
          <w:sz w:val="24"/>
          <w:szCs w:val="24"/>
          <w:u w:val="single"/>
        </w:rPr>
        <w:t>P</w:t>
      </w:r>
      <w:r w:rsidR="00A35AF4" w:rsidRPr="00BF7F42">
        <w:rPr>
          <w:rFonts w:ascii="Times New Roman" w:hAnsi="Times New Roman" w:cs="Times New Roman"/>
          <w:b/>
          <w:bCs/>
          <w:sz w:val="24"/>
          <w:szCs w:val="24"/>
          <w:u w:val="single"/>
        </w:rPr>
        <w:t>arity</w:t>
      </w:r>
      <w:r w:rsidR="006C4ED4" w:rsidRPr="00BF7F4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Comparative Analys</w:t>
      </w:r>
      <w:r w:rsidR="00143697" w:rsidRPr="00BF7F42">
        <w:rPr>
          <w:rFonts w:ascii="Times New Roman" w:hAnsi="Times New Roman" w:cs="Times New Roman"/>
          <w:b/>
          <w:bCs/>
          <w:sz w:val="24"/>
          <w:szCs w:val="24"/>
          <w:u w:val="single"/>
        </w:rPr>
        <w:t>is</w:t>
      </w:r>
      <w:r w:rsidR="00F1239D" w:rsidRPr="00BF7F4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BDA55DA" w14:textId="77777777" w:rsidR="00143697" w:rsidRDefault="00BF140E" w:rsidP="00143697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F19BF">
        <w:rPr>
          <w:rFonts w:ascii="Times New Roman" w:hAnsi="Times New Roman" w:cs="Times New Roman"/>
          <w:sz w:val="24"/>
          <w:szCs w:val="24"/>
        </w:rPr>
        <w:t xml:space="preserve">Effective Date: </w:t>
      </w:r>
      <w:r w:rsidR="00DF19BF" w:rsidRPr="00DF19BF">
        <w:rPr>
          <w:rFonts w:ascii="Times New Roman" w:hAnsi="Times New Roman" w:cs="Times New Roman"/>
          <w:sz w:val="24"/>
          <w:szCs w:val="24"/>
        </w:rPr>
        <w:t>February 10</w:t>
      </w:r>
      <w:r w:rsidR="00DF19BF">
        <w:rPr>
          <w:rFonts w:ascii="Times New Roman" w:hAnsi="Times New Roman" w:cs="Times New Roman"/>
          <w:sz w:val="24"/>
          <w:szCs w:val="24"/>
        </w:rPr>
        <w:t>,</w:t>
      </w:r>
      <w:r w:rsidR="00DF19BF" w:rsidRPr="00DF19BF"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4990D24C" w14:textId="733DFB30" w:rsidR="00143697" w:rsidRPr="00143697" w:rsidRDefault="00143697" w:rsidP="00143697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43697">
        <w:rPr>
          <w:rFonts w:ascii="Times New Roman" w:hAnsi="Times New Roman" w:cs="Times New Roman"/>
          <w:sz w:val="24"/>
          <w:szCs w:val="24"/>
        </w:rPr>
        <w:t>Current Status:</w:t>
      </w:r>
      <w:r w:rsidRPr="00143697">
        <w:rPr>
          <w:rFonts w:ascii="Times New Roman" w:hAnsi="Times New Roman" w:cs="Times New Roman"/>
          <w:sz w:val="24"/>
          <w:szCs w:val="24"/>
        </w:rPr>
        <w:t xml:space="preserve"> </w:t>
      </w:r>
      <w:r w:rsidRPr="00143697">
        <w:rPr>
          <w:rFonts w:ascii="Times New Roman" w:hAnsi="Times New Roman" w:cs="Times New Roman"/>
          <w:sz w:val="24"/>
          <w:szCs w:val="24"/>
        </w:rPr>
        <w:t>In January 2022, DOL released a report to Congress on this analysis</w:t>
      </w:r>
      <w:r w:rsidRPr="00143697">
        <w:rPr>
          <w:rFonts w:ascii="Times New Roman" w:hAnsi="Times New Roman" w:cs="Times New Roman"/>
          <w:sz w:val="24"/>
          <w:szCs w:val="24"/>
        </w:rPr>
        <w:t xml:space="preserve"> and called for additional regulations around mental health parity compliance. </w:t>
      </w:r>
    </w:p>
    <w:p w14:paraId="53790BD6" w14:textId="53E083B3" w:rsidR="00143697" w:rsidRPr="00DF19BF" w:rsidRDefault="00143697" w:rsidP="0014369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sectPr w:rsidR="00143697" w:rsidRPr="00DF19BF" w:rsidSect="00EF1E0D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0B2C4" w14:textId="77777777" w:rsidR="007C36D1" w:rsidRDefault="007C36D1" w:rsidP="007E27A9">
      <w:pPr>
        <w:spacing w:after="0" w:line="240" w:lineRule="auto"/>
      </w:pPr>
      <w:r>
        <w:separator/>
      </w:r>
    </w:p>
  </w:endnote>
  <w:endnote w:type="continuationSeparator" w:id="0">
    <w:p w14:paraId="52C9DAE6" w14:textId="77777777" w:rsidR="007C36D1" w:rsidRDefault="007C36D1" w:rsidP="007E2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D3230" w14:textId="77777777" w:rsidR="005D5477" w:rsidRDefault="005D5477" w:rsidP="002F3DA0">
    <w:pPr>
      <w:pStyle w:val="Footer"/>
      <w:rPr>
        <w:rFonts w:ascii="Times New Roman" w:hAnsi="Times New Roman" w:cs="Times New Roman"/>
      </w:rPr>
    </w:pPr>
  </w:p>
  <w:p w14:paraId="7F22759D" w14:textId="58B756E3" w:rsidR="002F3DA0" w:rsidRPr="005D5477" w:rsidRDefault="002F3DA0" w:rsidP="002F3DA0">
    <w:pPr>
      <w:pStyle w:val="Footer"/>
      <w:rPr>
        <w:rFonts w:ascii="Times New Roman" w:hAnsi="Times New Roman" w:cs="Times New Roman"/>
      </w:rPr>
    </w:pPr>
    <w:r w:rsidRPr="005D5477">
      <w:rPr>
        <w:rFonts w:ascii="Times New Roman" w:hAnsi="Times New Roman" w:cs="Times New Roman"/>
      </w:rPr>
      <w:t>*Reflects rulemaking through April 21, 2022</w:t>
    </w:r>
  </w:p>
  <w:p w14:paraId="77424164" w14:textId="6BE68035" w:rsidR="002F3DA0" w:rsidRDefault="002F3DA0">
    <w:pPr>
      <w:pStyle w:val="Footer"/>
    </w:pPr>
  </w:p>
  <w:p w14:paraId="0A79A1D6" w14:textId="77777777" w:rsidR="002F3DA0" w:rsidRDefault="002F3D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B8233" w14:textId="77777777" w:rsidR="007C36D1" w:rsidRDefault="007C36D1" w:rsidP="007E27A9">
      <w:pPr>
        <w:spacing w:after="0" w:line="240" w:lineRule="auto"/>
      </w:pPr>
      <w:r>
        <w:separator/>
      </w:r>
    </w:p>
  </w:footnote>
  <w:footnote w:type="continuationSeparator" w:id="0">
    <w:p w14:paraId="2BA835F0" w14:textId="77777777" w:rsidR="007C36D1" w:rsidRDefault="007C36D1" w:rsidP="007E27A9">
      <w:pPr>
        <w:spacing w:after="0" w:line="240" w:lineRule="auto"/>
      </w:pPr>
      <w:r>
        <w:continuationSeparator/>
      </w:r>
    </w:p>
  </w:footnote>
  <w:footnote w:id="1">
    <w:p w14:paraId="3A7C6B55" w14:textId="77777777" w:rsidR="006D69C5" w:rsidRPr="00EF2855" w:rsidRDefault="006D69C5" w:rsidP="006D69C5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EF2855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2855">
        <w:rPr>
          <w:rFonts w:ascii="Times New Roman" w:hAnsi="Times New Roman" w:cs="Times New Roman"/>
          <w:sz w:val="16"/>
          <w:szCs w:val="16"/>
        </w:rPr>
        <w:t xml:space="preserve"> </w:t>
      </w:r>
      <w:r w:rsidRPr="00EF2855">
        <w:rPr>
          <w:rFonts w:ascii="Times New Roman" w:hAnsi="Times New Roman" w:cs="Times New Roman"/>
          <w:color w:val="323A45"/>
          <w:sz w:val="16"/>
          <w:szCs w:val="16"/>
          <w:shd w:val="clear" w:color="auto" w:fill="FAFAFA"/>
        </w:rPr>
        <w:t>The final rule can be found here: </w:t>
      </w:r>
      <w:hyperlink r:id="rId1" w:history="1">
        <w:r w:rsidRPr="00EF2855">
          <w:rPr>
            <w:rStyle w:val="Hyperlink"/>
            <w:rFonts w:ascii="Times New Roman" w:hAnsi="Times New Roman" w:cs="Times New Roman"/>
            <w:b/>
            <w:bCs/>
            <w:color w:val="0C2499"/>
            <w:sz w:val="16"/>
            <w:szCs w:val="16"/>
            <w:shd w:val="clear" w:color="auto" w:fill="FAFAFA"/>
          </w:rPr>
          <w:t>https://www.cms.gov/CCIIO/Resources/Regulations-and-Guidance/Downloads/CMS-Transparency-in-Coverage-9915F.pdf</w:t>
        </w:r>
      </w:hyperlink>
      <w:r w:rsidRPr="00EF2855">
        <w:rPr>
          <w:rFonts w:ascii="Times New Roman" w:hAnsi="Times New Roman" w:cs="Times New Roman"/>
          <w:color w:val="323A45"/>
          <w:sz w:val="16"/>
          <w:szCs w:val="16"/>
          <w:shd w:val="clear" w:color="auto" w:fill="FAFAFA"/>
        </w:rPr>
        <w:t>    </w:t>
      </w:r>
    </w:p>
  </w:footnote>
  <w:footnote w:id="2">
    <w:p w14:paraId="75D947A9" w14:textId="77777777" w:rsidR="006D69C5" w:rsidRPr="005F57F3" w:rsidRDefault="006D69C5" w:rsidP="006D69C5">
      <w:pPr>
        <w:pStyle w:val="FootnoteText"/>
        <w:rPr>
          <w:rFonts w:ascii="Times New Roman" w:hAnsi="Times New Roman" w:cs="Times New Roman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026042">
          <w:rPr>
            <w:rStyle w:val="Hyperlink"/>
            <w:rFonts w:ascii="Times New Roman" w:hAnsi="Times New Roman" w:cs="Times New Roman"/>
            <w:sz w:val="16"/>
            <w:szCs w:val="16"/>
          </w:rPr>
          <w:t>https://www.congress.gov/116/bills/hr133/BILLS-116hr133enr.pdf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</w:t>
      </w:r>
    </w:p>
  </w:footnote>
  <w:footnote w:id="3">
    <w:p w14:paraId="6F1FB078" w14:textId="6C75512E" w:rsidR="00DC6E89" w:rsidRPr="00FF574D" w:rsidRDefault="00DC6E89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FF574D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FF574D">
        <w:rPr>
          <w:rFonts w:ascii="Times New Roman" w:hAnsi="Times New Roman" w:cs="Times New Roman"/>
          <w:sz w:val="16"/>
          <w:szCs w:val="16"/>
        </w:rPr>
        <w:t xml:space="preserve"> These enforcement delay</w:t>
      </w:r>
      <w:r w:rsidR="00DA7199" w:rsidRPr="00FF574D">
        <w:rPr>
          <w:rFonts w:ascii="Times New Roman" w:hAnsi="Times New Roman" w:cs="Times New Roman"/>
          <w:sz w:val="16"/>
          <w:szCs w:val="16"/>
        </w:rPr>
        <w:t xml:space="preserve">s </w:t>
      </w:r>
      <w:proofErr w:type="gramStart"/>
      <w:r w:rsidR="00DA7199" w:rsidRPr="00FF574D">
        <w:rPr>
          <w:rFonts w:ascii="Times New Roman" w:hAnsi="Times New Roman" w:cs="Times New Roman"/>
          <w:sz w:val="16"/>
          <w:szCs w:val="16"/>
        </w:rPr>
        <w:t>was</w:t>
      </w:r>
      <w:proofErr w:type="gramEnd"/>
      <w:r w:rsidR="00DA7199" w:rsidRPr="00FF574D">
        <w:rPr>
          <w:rFonts w:ascii="Times New Roman" w:hAnsi="Times New Roman" w:cs="Times New Roman"/>
          <w:sz w:val="16"/>
          <w:szCs w:val="16"/>
        </w:rPr>
        <w:t xml:space="preserve"> included in an FAQ released by DOL in August 2020. </w:t>
      </w:r>
      <w:hyperlink r:id="rId3" w:history="1">
        <w:r w:rsidR="00FF574D" w:rsidRPr="00FF574D">
          <w:rPr>
            <w:rStyle w:val="Hyperlink"/>
            <w:rFonts w:ascii="Times New Roman" w:hAnsi="Times New Roman" w:cs="Times New Roman"/>
            <w:sz w:val="16"/>
            <w:szCs w:val="16"/>
          </w:rPr>
          <w:t>https://www.dol.gov/sites/dolgov/files/EBSA/about-ebsa/our-activities/resource-center/faqs/aca-part-49.pdf</w:t>
        </w:r>
      </w:hyperlink>
      <w:r w:rsidR="00FF574D" w:rsidRPr="00FF574D">
        <w:rPr>
          <w:rFonts w:ascii="Times New Roman" w:hAnsi="Times New Roman" w:cs="Times New Roman"/>
          <w:sz w:val="16"/>
          <w:szCs w:val="16"/>
        </w:rPr>
        <w:t xml:space="preserve"> </w:t>
      </w:r>
    </w:p>
  </w:footnote>
  <w:footnote w:id="4">
    <w:p w14:paraId="63F32DC6" w14:textId="389367C1" w:rsidR="00087751" w:rsidRDefault="0008775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Pr="00026042">
          <w:rPr>
            <w:rStyle w:val="Hyperlink"/>
            <w:rFonts w:ascii="Times New Roman" w:hAnsi="Times New Roman" w:cs="Times New Roman"/>
            <w:sz w:val="16"/>
            <w:szCs w:val="16"/>
          </w:rPr>
          <w:t>https://www.cms.gov/sites/default/files/2021-12/RxDC-Reporting-Instructions.pdf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92626" w14:textId="5123D6A2" w:rsidR="00EF1E0D" w:rsidRDefault="00EF1E0D">
    <w:pPr>
      <w:pStyle w:val="Header"/>
    </w:pPr>
    <w:r>
      <w:rPr>
        <w:noProof/>
        <w:szCs w:val="24"/>
      </w:rPr>
      <w:drawing>
        <wp:inline distT="0" distB="0" distL="0" distR="0" wp14:anchorId="66EDF89D" wp14:editId="5267913A">
          <wp:extent cx="1906983" cy="871551"/>
          <wp:effectExtent l="0" t="0" r="0" b="5080"/>
          <wp:docPr id="5" name="Picture 5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APA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2981" cy="878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25B46"/>
    <w:multiLevelType w:val="hybridMultilevel"/>
    <w:tmpl w:val="F7D09B2C"/>
    <w:lvl w:ilvl="0" w:tplc="9AD68FE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910F6"/>
    <w:multiLevelType w:val="multilevel"/>
    <w:tmpl w:val="D1F42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2248F8"/>
    <w:multiLevelType w:val="hybridMultilevel"/>
    <w:tmpl w:val="A608FAC2"/>
    <w:lvl w:ilvl="0" w:tplc="9AD68FE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87D2E57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B7B068CE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4294AA32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B54CCB86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860AD298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D084F9AE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26E0B7EE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BAD86640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16306F9B"/>
    <w:multiLevelType w:val="hybridMultilevel"/>
    <w:tmpl w:val="96942F42"/>
    <w:lvl w:ilvl="0" w:tplc="55202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862C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86C3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AC84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B8D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C86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9A9D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101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AE3C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5D70272"/>
    <w:multiLevelType w:val="hybridMultilevel"/>
    <w:tmpl w:val="40CE6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21F4D"/>
    <w:multiLevelType w:val="hybridMultilevel"/>
    <w:tmpl w:val="1B3C5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41971"/>
    <w:multiLevelType w:val="hybridMultilevel"/>
    <w:tmpl w:val="135AD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D5EC4"/>
    <w:multiLevelType w:val="hybridMultilevel"/>
    <w:tmpl w:val="9086F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003A2"/>
    <w:multiLevelType w:val="hybridMultilevel"/>
    <w:tmpl w:val="BBC2B8F4"/>
    <w:lvl w:ilvl="0" w:tplc="9AD68FE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2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7A9"/>
    <w:rsid w:val="00001FA5"/>
    <w:rsid w:val="00026EDA"/>
    <w:rsid w:val="000478B5"/>
    <w:rsid w:val="0007647E"/>
    <w:rsid w:val="00076EC0"/>
    <w:rsid w:val="00087751"/>
    <w:rsid w:val="00094BB7"/>
    <w:rsid w:val="000A3210"/>
    <w:rsid w:val="000A5F21"/>
    <w:rsid w:val="000B2A51"/>
    <w:rsid w:val="000C1D56"/>
    <w:rsid w:val="000C7660"/>
    <w:rsid w:val="000D011C"/>
    <w:rsid w:val="000E35C9"/>
    <w:rsid w:val="000E3F52"/>
    <w:rsid w:val="000E558E"/>
    <w:rsid w:val="00143697"/>
    <w:rsid w:val="00151701"/>
    <w:rsid w:val="0017629B"/>
    <w:rsid w:val="001A254D"/>
    <w:rsid w:val="002053BA"/>
    <w:rsid w:val="002075EF"/>
    <w:rsid w:val="00235DCC"/>
    <w:rsid w:val="00242A2A"/>
    <w:rsid w:val="00243B78"/>
    <w:rsid w:val="00270CE6"/>
    <w:rsid w:val="00284581"/>
    <w:rsid w:val="002855AE"/>
    <w:rsid w:val="002C0F93"/>
    <w:rsid w:val="002C6F33"/>
    <w:rsid w:val="002D03B0"/>
    <w:rsid w:val="002E45F9"/>
    <w:rsid w:val="002F3DA0"/>
    <w:rsid w:val="003166D9"/>
    <w:rsid w:val="0031797A"/>
    <w:rsid w:val="0033197B"/>
    <w:rsid w:val="00344E4F"/>
    <w:rsid w:val="003A198E"/>
    <w:rsid w:val="003B6F87"/>
    <w:rsid w:val="003F6922"/>
    <w:rsid w:val="004204C9"/>
    <w:rsid w:val="004234EB"/>
    <w:rsid w:val="004643E5"/>
    <w:rsid w:val="00487D52"/>
    <w:rsid w:val="004936E1"/>
    <w:rsid w:val="00493F53"/>
    <w:rsid w:val="004B6354"/>
    <w:rsid w:val="004C20E2"/>
    <w:rsid w:val="004D140B"/>
    <w:rsid w:val="0053171A"/>
    <w:rsid w:val="0057207F"/>
    <w:rsid w:val="005952E3"/>
    <w:rsid w:val="005B1DDE"/>
    <w:rsid w:val="005D1AD5"/>
    <w:rsid w:val="005D5477"/>
    <w:rsid w:val="005E111D"/>
    <w:rsid w:val="005E5643"/>
    <w:rsid w:val="005F57F3"/>
    <w:rsid w:val="00605391"/>
    <w:rsid w:val="00624334"/>
    <w:rsid w:val="0065371B"/>
    <w:rsid w:val="006700DB"/>
    <w:rsid w:val="0067612C"/>
    <w:rsid w:val="006B6C1F"/>
    <w:rsid w:val="006C4ED4"/>
    <w:rsid w:val="006D69C5"/>
    <w:rsid w:val="006E71A8"/>
    <w:rsid w:val="006F62AE"/>
    <w:rsid w:val="006F6FB1"/>
    <w:rsid w:val="00720DE0"/>
    <w:rsid w:val="00732CD7"/>
    <w:rsid w:val="00736451"/>
    <w:rsid w:val="00753461"/>
    <w:rsid w:val="00756259"/>
    <w:rsid w:val="0076216A"/>
    <w:rsid w:val="0078196A"/>
    <w:rsid w:val="007944D0"/>
    <w:rsid w:val="007B1234"/>
    <w:rsid w:val="007B7FCA"/>
    <w:rsid w:val="007C36D1"/>
    <w:rsid w:val="007E27A9"/>
    <w:rsid w:val="0081219C"/>
    <w:rsid w:val="0082128C"/>
    <w:rsid w:val="00833B4C"/>
    <w:rsid w:val="0085571B"/>
    <w:rsid w:val="0089575A"/>
    <w:rsid w:val="008B54E0"/>
    <w:rsid w:val="008B6764"/>
    <w:rsid w:val="008C056A"/>
    <w:rsid w:val="008E50E4"/>
    <w:rsid w:val="008E6010"/>
    <w:rsid w:val="009134BB"/>
    <w:rsid w:val="009178DA"/>
    <w:rsid w:val="00931951"/>
    <w:rsid w:val="009A3F63"/>
    <w:rsid w:val="009A47C5"/>
    <w:rsid w:val="009B18FE"/>
    <w:rsid w:val="009D60AA"/>
    <w:rsid w:val="009E4AE4"/>
    <w:rsid w:val="009E6CAA"/>
    <w:rsid w:val="00A00AD4"/>
    <w:rsid w:val="00A238C4"/>
    <w:rsid w:val="00A30FE5"/>
    <w:rsid w:val="00A32CB0"/>
    <w:rsid w:val="00A35AF4"/>
    <w:rsid w:val="00A4103A"/>
    <w:rsid w:val="00A925B4"/>
    <w:rsid w:val="00A93A04"/>
    <w:rsid w:val="00AA2057"/>
    <w:rsid w:val="00AC029B"/>
    <w:rsid w:val="00AC0EFB"/>
    <w:rsid w:val="00AF7E01"/>
    <w:rsid w:val="00B03AB2"/>
    <w:rsid w:val="00B07DF9"/>
    <w:rsid w:val="00B8034D"/>
    <w:rsid w:val="00B816B7"/>
    <w:rsid w:val="00B939E6"/>
    <w:rsid w:val="00BA2ECC"/>
    <w:rsid w:val="00BB2267"/>
    <w:rsid w:val="00BD0D3A"/>
    <w:rsid w:val="00BD65F9"/>
    <w:rsid w:val="00BE4C9D"/>
    <w:rsid w:val="00BF140E"/>
    <w:rsid w:val="00BF7F42"/>
    <w:rsid w:val="00C039A4"/>
    <w:rsid w:val="00C071F2"/>
    <w:rsid w:val="00C2703F"/>
    <w:rsid w:val="00C46DFD"/>
    <w:rsid w:val="00C825C6"/>
    <w:rsid w:val="00C9273E"/>
    <w:rsid w:val="00CB396E"/>
    <w:rsid w:val="00CC1DF2"/>
    <w:rsid w:val="00CC6B2D"/>
    <w:rsid w:val="00CD3EE5"/>
    <w:rsid w:val="00CE2E6C"/>
    <w:rsid w:val="00CE5D98"/>
    <w:rsid w:val="00D00915"/>
    <w:rsid w:val="00D17E71"/>
    <w:rsid w:val="00D248DC"/>
    <w:rsid w:val="00D61CDE"/>
    <w:rsid w:val="00D64F36"/>
    <w:rsid w:val="00DA0A1E"/>
    <w:rsid w:val="00DA7199"/>
    <w:rsid w:val="00DA7C26"/>
    <w:rsid w:val="00DB74A0"/>
    <w:rsid w:val="00DC6E89"/>
    <w:rsid w:val="00DD535C"/>
    <w:rsid w:val="00DF0260"/>
    <w:rsid w:val="00DF0F59"/>
    <w:rsid w:val="00DF19BF"/>
    <w:rsid w:val="00DF1B13"/>
    <w:rsid w:val="00DF7751"/>
    <w:rsid w:val="00E037CB"/>
    <w:rsid w:val="00E142C1"/>
    <w:rsid w:val="00E16DC6"/>
    <w:rsid w:val="00E231F6"/>
    <w:rsid w:val="00E367A3"/>
    <w:rsid w:val="00E45CC6"/>
    <w:rsid w:val="00E52FDC"/>
    <w:rsid w:val="00EB5800"/>
    <w:rsid w:val="00ED64DB"/>
    <w:rsid w:val="00EF1E0D"/>
    <w:rsid w:val="00EF2855"/>
    <w:rsid w:val="00EF300E"/>
    <w:rsid w:val="00F1239D"/>
    <w:rsid w:val="00F4268E"/>
    <w:rsid w:val="00F438F3"/>
    <w:rsid w:val="00F83EB3"/>
    <w:rsid w:val="00F92838"/>
    <w:rsid w:val="00FA6DB2"/>
    <w:rsid w:val="00FA79B9"/>
    <w:rsid w:val="00FC55D8"/>
    <w:rsid w:val="00FF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96E70"/>
  <w15:chartTrackingRefBased/>
  <w15:docId w15:val="{B16222DD-33C4-43C9-9D64-A45AB7BE3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2E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27A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E2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7A9"/>
  </w:style>
  <w:style w:type="paragraph" w:styleId="Footer">
    <w:name w:val="footer"/>
    <w:basedOn w:val="Normal"/>
    <w:link w:val="FooterChar"/>
    <w:uiPriority w:val="99"/>
    <w:unhideWhenUsed/>
    <w:rsid w:val="007E2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7A9"/>
  </w:style>
  <w:style w:type="paragraph" w:styleId="FootnoteText">
    <w:name w:val="footnote text"/>
    <w:basedOn w:val="Normal"/>
    <w:link w:val="FootnoteTextChar"/>
    <w:uiPriority w:val="99"/>
    <w:semiHidden/>
    <w:unhideWhenUsed/>
    <w:rsid w:val="002845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45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4581"/>
    <w:rPr>
      <w:vertAlign w:val="superscript"/>
    </w:rPr>
  </w:style>
  <w:style w:type="paragraph" w:styleId="ListParagraph">
    <w:name w:val="List Paragraph"/>
    <w:basedOn w:val="Normal"/>
    <w:uiPriority w:val="34"/>
    <w:qFormat/>
    <w:rsid w:val="002845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285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57F3"/>
    <w:rPr>
      <w:color w:val="605E5C"/>
      <w:shd w:val="clear" w:color="auto" w:fill="E1DFDD"/>
    </w:rPr>
  </w:style>
  <w:style w:type="paragraph" w:customStyle="1" w:styleId="Default">
    <w:name w:val="Default"/>
    <w:rsid w:val="002E45F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73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23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4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dol.gov/sites/dolgov/files/EBSA/about-ebsa/our-activities/resource-center/faqs/aca-part-49.pdf" TargetMode="External"/><Relationship Id="rId2" Type="http://schemas.openxmlformats.org/officeDocument/2006/relationships/hyperlink" Target="https://www.congress.gov/116/bills/hr133/BILLS-116hr133enr.pdf" TargetMode="External"/><Relationship Id="rId1" Type="http://schemas.openxmlformats.org/officeDocument/2006/relationships/hyperlink" Target="https://www.cms.gov/CCIIO/Resources/Regulations-and-Guidance/Downloads/CMS-Transparency-in-Coverage-9915F.pdf" TargetMode="External"/><Relationship Id="rId4" Type="http://schemas.openxmlformats.org/officeDocument/2006/relationships/hyperlink" Target="https://www.cms.gov/sites/default/files/2021-12/RxDC-Reporting-Instruction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25F63-FD05-46D0-8343-A9150C70B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Osinski, Ruth</dc:creator>
  <cp:keywords/>
  <dc:description/>
  <cp:lastModifiedBy>Osinski, Ruth</cp:lastModifiedBy>
  <cp:revision>25</cp:revision>
  <dcterms:created xsi:type="dcterms:W3CDTF">2022-04-21T22:00:00Z</dcterms:created>
  <dcterms:modified xsi:type="dcterms:W3CDTF">2022-04-21T22:22:00Z</dcterms:modified>
</cp:coreProperties>
</file>